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F7B36">
      <w:pPr>
        <w:jc w:val="both"/>
        <w:rPr>
          <w:rFonts w:hint="eastAsia" w:ascii="黑体" w:hAnsi="黑体" w:eastAsia="黑体" w:cs="黑体"/>
          <w:spacing w:val="6"/>
          <w:sz w:val="30"/>
          <w:szCs w:val="30"/>
          <w:lang w:val="en-US" w:eastAsia="zh-CN"/>
        </w:rPr>
      </w:pPr>
      <w:r>
        <w:rPr>
          <w:rFonts w:hint="eastAsia" w:ascii="黑体" w:hAnsi="黑体" w:eastAsia="黑体" w:cs="黑体"/>
          <w:spacing w:val="6"/>
          <w:sz w:val="30"/>
          <w:szCs w:val="30"/>
          <w:lang w:val="en-US" w:eastAsia="zh-CN"/>
        </w:rPr>
        <w:t>附件</w:t>
      </w:r>
    </w:p>
    <w:p w14:paraId="4B57E8E2">
      <w:pPr>
        <w:spacing w:line="578" w:lineRule="exact"/>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第六届亚洲沙滩运动会官方网站</w:t>
      </w:r>
    </w:p>
    <w:p w14:paraId="32D80751">
      <w:pPr>
        <w:spacing w:line="578" w:lineRule="exact"/>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等保测评及密评服务采购需求</w:t>
      </w:r>
    </w:p>
    <w:p w14:paraId="0D8F74FC">
      <w:pPr>
        <w:spacing w:line="578" w:lineRule="exact"/>
        <w:ind w:firstLine="640" w:firstLineChars="200"/>
        <w:rPr>
          <w:rFonts w:hint="eastAsia" w:ascii="仿宋_GB2312" w:hAnsi="仿宋_GB2312" w:eastAsia="仿宋_GB2312" w:cs="仿宋_GB2312"/>
          <w:bCs/>
          <w:sz w:val="32"/>
          <w:szCs w:val="32"/>
        </w:rPr>
      </w:pPr>
      <w:bookmarkStart w:id="0" w:name="_GoBack"/>
      <w:bookmarkEnd w:id="0"/>
    </w:p>
    <w:p w14:paraId="79F29409">
      <w:pPr>
        <w:spacing w:line="578"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遵循《网络安全等级保护基本要求》（</w:t>
      </w:r>
      <w:r>
        <w:rPr>
          <w:rFonts w:hint="default" w:ascii="Times New Roman" w:hAnsi="Times New Roman" w:eastAsia="仿宋_GB2312" w:cs="Times New Roman"/>
          <w:bCs/>
          <w:sz w:val="32"/>
          <w:szCs w:val="32"/>
        </w:rPr>
        <w:t>GB/T 22239-2019</w:t>
      </w:r>
      <w:r>
        <w:rPr>
          <w:rFonts w:hint="eastAsia" w:ascii="仿宋_GB2312" w:hAnsi="仿宋_GB2312" w:eastAsia="仿宋_GB2312" w:cs="仿宋_GB2312"/>
          <w:bCs/>
          <w:sz w:val="32"/>
          <w:szCs w:val="32"/>
        </w:rPr>
        <w:t>）、《网络安全等级保护安全设计技术要求》（</w:t>
      </w:r>
      <w:r>
        <w:rPr>
          <w:rFonts w:hint="default" w:ascii="Times New Roman" w:hAnsi="Times New Roman" w:eastAsia="仿宋_GB2312" w:cs="Times New Roman"/>
          <w:bCs/>
          <w:sz w:val="32"/>
          <w:szCs w:val="32"/>
        </w:rPr>
        <w:t>GB/T 25070-2019</w:t>
      </w:r>
      <w:r>
        <w:rPr>
          <w:rFonts w:hint="eastAsia" w:ascii="仿宋_GB2312" w:hAnsi="仿宋_GB2312" w:eastAsia="仿宋_GB2312" w:cs="仿宋_GB2312"/>
          <w:bCs/>
          <w:sz w:val="32"/>
          <w:szCs w:val="32"/>
        </w:rPr>
        <w:t>）等网络安全等级保护的相关标准规范，</w:t>
      </w:r>
      <w:r>
        <w:rPr>
          <w:rFonts w:hint="eastAsia" w:ascii="仿宋_GB2312" w:hAnsi="仿宋_GB2312" w:eastAsia="仿宋_GB2312" w:cs="仿宋_GB2312"/>
          <w:bCs/>
          <w:sz w:val="32"/>
          <w:szCs w:val="32"/>
          <w:lang w:val="en-US" w:eastAsia="zh-CN"/>
        </w:rPr>
        <w:t>拟定对三亚亚沙会官方网站开展第三级（</w:t>
      </w:r>
      <w:r>
        <w:rPr>
          <w:rFonts w:hint="default" w:ascii="Times New Roman" w:hAnsi="Times New Roman" w:eastAsia="仿宋_GB2312" w:cs="Times New Roman"/>
          <w:bCs/>
          <w:sz w:val="32"/>
          <w:szCs w:val="32"/>
          <w:lang w:val="en-US" w:eastAsia="zh-CN"/>
        </w:rPr>
        <w:t>S3A3G3）</w:t>
      </w:r>
      <w:r>
        <w:rPr>
          <w:rFonts w:hint="eastAsia" w:ascii="Times New Roman" w:hAnsi="Times New Roman" w:eastAsia="仿宋_GB2312" w:cs="Times New Roman"/>
          <w:bCs/>
          <w:sz w:val="32"/>
          <w:szCs w:val="32"/>
          <w:lang w:val="en-US" w:eastAsia="zh-CN"/>
        </w:rPr>
        <w:t>等保测评及密评工作</w:t>
      </w:r>
      <w:r>
        <w:rPr>
          <w:rFonts w:hint="eastAsia" w:ascii="仿宋_GB2312" w:hAnsi="仿宋_GB2312" w:eastAsia="仿宋_GB2312" w:cs="仿宋_GB2312"/>
          <w:bCs/>
          <w:sz w:val="32"/>
          <w:szCs w:val="32"/>
        </w:rPr>
        <w:t>。</w:t>
      </w:r>
    </w:p>
    <w:p w14:paraId="6B4A554D">
      <w:pPr>
        <w:spacing w:line="578"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一、网络安全等级保护测评服务</w:t>
      </w:r>
    </w:p>
    <w:p w14:paraId="6E10ACF2">
      <w:pPr>
        <w:spacing w:line="578"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安全技术测评</w:t>
      </w:r>
      <w:r>
        <w:rPr>
          <w:rFonts w:hint="default" w:ascii="Times New Roman" w:hAnsi="Times New Roman" w:eastAsia="仿宋_GB2312" w:cs="Times New Roman"/>
          <w:sz w:val="32"/>
          <w:szCs w:val="32"/>
          <w:highlight w:val="none"/>
          <w:lang w:val="en-US" w:eastAsia="zh-CN"/>
        </w:rPr>
        <w:t>：涵盖安全物理环境、安全通信网络、安全区域边界、安全计算环境、安全管理中心</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方面。</w:t>
      </w:r>
    </w:p>
    <w:p w14:paraId="0E415744">
      <w:pPr>
        <w:spacing w:line="578"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安全管理测评：包括安全管理制度、安全管理机构、安全管理人员、安全建设管理、安全运维管理</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方面。</w:t>
      </w:r>
    </w:p>
    <w:p w14:paraId="0B935709">
      <w:pPr>
        <w:spacing w:line="578"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差距分析与整改支持：找出系统与标准要求的差距，出具差距分析报告及整改建议，整改后进行结果确认。</w:t>
      </w:r>
    </w:p>
    <w:p w14:paraId="15AFBEE9">
      <w:pPr>
        <w:spacing w:line="578"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4.报告出具与备案：完成测评后出具正式《网络安全等级保护测评报告》，协助报当地公安机关备案。</w:t>
      </w:r>
    </w:p>
    <w:p w14:paraId="0F91C750">
      <w:pPr>
        <w:spacing w:line="578"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二、商用密码应用安全性评估服务</w:t>
      </w:r>
    </w:p>
    <w:p w14:paraId="2AF430EE">
      <w:pPr>
        <w:spacing w:line="578"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仿宋_GB2312" w:eastAsia="仿宋_GB2312"/>
          <w:sz w:val="32"/>
          <w:szCs w:val="32"/>
          <w:highlight w:val="none"/>
        </w:rPr>
        <w:t>通用测评</w:t>
      </w:r>
      <w:r>
        <w:rPr>
          <w:rFonts w:hint="eastAsia" w:ascii="仿宋_GB2312" w:eastAsia="仿宋_GB2312"/>
          <w:sz w:val="32"/>
          <w:szCs w:val="32"/>
          <w:highlight w:val="none"/>
          <w:lang w:eastAsia="zh-CN"/>
        </w:rPr>
        <w:t>：</w:t>
      </w:r>
      <w:r>
        <w:rPr>
          <w:rFonts w:hint="default" w:ascii="仿宋_GB2312" w:eastAsia="仿宋_GB2312"/>
          <w:sz w:val="32"/>
          <w:szCs w:val="32"/>
          <w:highlight w:val="none"/>
        </w:rPr>
        <w:t>核查系统使用的密码算法、技术、产品及服务是否符合法律法规和相关标准要求。</w:t>
      </w:r>
    </w:p>
    <w:p w14:paraId="4528DAE5">
      <w:pPr>
        <w:spacing w:line="578" w:lineRule="exact"/>
        <w:ind w:firstLine="640" w:firstLineChars="200"/>
        <w:jc w:val="both"/>
        <w:rPr>
          <w:rFonts w:hint="default" w:ascii="仿宋_GB2312" w:eastAsia="仿宋_GB2312"/>
          <w:sz w:val="32"/>
          <w:szCs w:val="32"/>
          <w:highlight w:val="none"/>
        </w:rPr>
      </w:pPr>
      <w:r>
        <w:rPr>
          <w:rFonts w:hint="eastAsia" w:ascii="Times New Roman" w:hAnsi="Times New Roman" w:eastAsia="仿宋_GB2312" w:cs="Times New Roman"/>
          <w:sz w:val="32"/>
          <w:szCs w:val="32"/>
          <w:lang w:val="en-US" w:eastAsia="zh-CN"/>
        </w:rPr>
        <w:t>2.</w:t>
      </w:r>
      <w:r>
        <w:rPr>
          <w:rFonts w:hint="default" w:ascii="仿宋_GB2312" w:eastAsia="仿宋_GB2312"/>
          <w:sz w:val="32"/>
          <w:szCs w:val="32"/>
          <w:highlight w:val="none"/>
        </w:rPr>
        <w:t>密码应用技术测评</w:t>
      </w:r>
      <w:r>
        <w:rPr>
          <w:rFonts w:hint="eastAsia" w:ascii="仿宋_GB2312" w:eastAsia="仿宋_GB2312"/>
          <w:sz w:val="32"/>
          <w:szCs w:val="32"/>
          <w:highlight w:val="none"/>
          <w:lang w:eastAsia="zh-CN"/>
        </w:rPr>
        <w:t>：</w:t>
      </w:r>
      <w:r>
        <w:rPr>
          <w:rFonts w:hint="default" w:ascii="仿宋_GB2312" w:eastAsia="仿宋_GB2312"/>
          <w:sz w:val="32"/>
          <w:szCs w:val="32"/>
          <w:highlight w:val="none"/>
        </w:rPr>
        <w:t>包括物理和环境安全、网络和通信安全、设备和计算安全、应用和数据安全测评。</w:t>
      </w:r>
    </w:p>
    <w:p w14:paraId="362535A8">
      <w:pPr>
        <w:spacing w:line="578"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仿宋_GB2312" w:eastAsia="仿宋_GB2312"/>
          <w:sz w:val="32"/>
          <w:szCs w:val="32"/>
          <w:highlight w:val="none"/>
        </w:rPr>
        <w:t> 密码应用管理测评：从管理制度、人员管理、建设运行、应急处置四个方面开展测评，验证管理机制有效性。</w:t>
      </w:r>
    </w:p>
    <w:p w14:paraId="00A37D6A">
      <w:pPr>
        <w:spacing w:line="578"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仿宋_GB2312" w:eastAsia="仿宋_GB2312"/>
          <w:sz w:val="32"/>
          <w:szCs w:val="32"/>
          <w:highlight w:val="none"/>
        </w:rPr>
        <w:t>整体测评与报告出具：对系统进行整体安全测评及风险分析，出具《商用密码应用安全性评估报告》。</w:t>
      </w:r>
    </w:p>
    <w:p w14:paraId="0316E30E">
      <w:pPr>
        <w:spacing w:line="578"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三、服务要求</w:t>
      </w:r>
    </w:p>
    <w:p w14:paraId="231601EF">
      <w:pPr>
        <w:spacing w:line="578"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1. </w:t>
      </w:r>
      <w:r>
        <w:rPr>
          <w:rFonts w:hint="eastAsia" w:ascii="Times New Roman" w:hAnsi="Times New Roman" w:eastAsia="仿宋_GB2312" w:cs="Times New Roman"/>
          <w:sz w:val="32"/>
          <w:szCs w:val="32"/>
          <w:highlight w:val="none"/>
          <w:lang w:val="en-US" w:eastAsia="zh-CN"/>
        </w:rPr>
        <w:t>服务商应自行承担参与本次采购活动所产生的一切费用，采购方不予以补偿。</w:t>
      </w:r>
    </w:p>
    <w:p w14:paraId="1CE5C6E9">
      <w:pPr>
        <w:spacing w:line="578"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2. </w:t>
      </w:r>
      <w:r>
        <w:rPr>
          <w:rFonts w:hint="eastAsia" w:ascii="Times New Roman" w:hAnsi="Times New Roman" w:eastAsia="仿宋_GB2312" w:cs="Times New Roman"/>
          <w:sz w:val="32"/>
          <w:szCs w:val="32"/>
          <w:highlight w:val="none"/>
          <w:lang w:val="en-US" w:eastAsia="zh-CN"/>
        </w:rPr>
        <w:t>测评过程中的各项配合工作由采购方协调相关单位提供支持。</w:t>
      </w:r>
    </w:p>
    <w:p w14:paraId="51DE7668">
      <w:pPr>
        <w:spacing w:line="578"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3. </w:t>
      </w:r>
      <w:r>
        <w:rPr>
          <w:rFonts w:hint="eastAsia" w:ascii="Times New Roman" w:hAnsi="Times New Roman" w:eastAsia="仿宋_GB2312" w:cs="Times New Roman"/>
          <w:sz w:val="32"/>
          <w:szCs w:val="32"/>
          <w:highlight w:val="none"/>
          <w:lang w:val="en-US" w:eastAsia="zh-CN"/>
        </w:rPr>
        <w:t>中标服务商不得将本项目转包或违法分包给其他单位。</w:t>
      </w:r>
    </w:p>
    <w:p w14:paraId="058B5A5C">
      <w:pPr>
        <w:spacing w:line="578"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4.严格遵守保密协议，对服务过程中接触的亚沙会未公开信息（如赛事机密、商业合作细节等）承担保密责任，保密期限至信息公开后5年。</w:t>
      </w:r>
    </w:p>
    <w:p w14:paraId="0052E144">
      <w:pPr>
        <w:spacing w:line="578"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项目实施过程中，服务商应遵循国家标准、行业标准，并依据IOS9001质量管理体系要求，严格把控服务质量，且项目负责人具有信息系统项目管理师证书或项目管理专业人士资格证书。项目团队成员至少4名具备初级及以上等级保护测评师证书（其中高级、中级各1名），至少3名成员具备商用密码应用安全性评估从业人员考核合格证书及实践经验，自近三年以来承担过2个及以上相关等保测评、密评服务项目业绩(需提供复印件或合同关键页等证明材料)。</w:t>
      </w:r>
    </w:p>
    <w:p w14:paraId="5D1DA2CC">
      <w:pPr>
        <w:jc w:val="center"/>
        <w:rPr>
          <w:rFonts w:hint="default" w:ascii="方正小标宋简体" w:hAnsi="方正小标宋简体" w:eastAsia="方正小标宋简体" w:cs="方正小标宋简体"/>
          <w:spacing w:val="6"/>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52FF"/>
    <w:rsid w:val="074A1D85"/>
    <w:rsid w:val="217001E2"/>
    <w:rsid w:val="2E7B3D22"/>
    <w:rsid w:val="2F000DF7"/>
    <w:rsid w:val="43452E25"/>
    <w:rsid w:val="4A7D0B9C"/>
    <w:rsid w:val="4AD93E52"/>
    <w:rsid w:val="6170330B"/>
    <w:rsid w:val="61B551C2"/>
    <w:rsid w:val="64992B79"/>
    <w:rsid w:val="6FC211D5"/>
    <w:rsid w:val="782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2025-10-20T08:56:12Z</dcterms:created>
  <dc:creator>Administrator</dc:creator>
  <cp:lastModifiedBy>、Henry</cp:lastModifiedBy>
  <dcterms:modified xsi:type="dcterms:W3CDTF">2025-10-20T09:00:44Z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eyJoZGlkIjoiNGExYjA2M2JiM2EzYmEzZTQ3MDJiYzhkMDQ3ZTEzY2YiLCJ1c2VySWQiOiIxNTIyNzcxOTQ1In0=</vt:lpwstr>
  </property>
  <property fmtid="{D5CDD505-2E9C-101B-9397-08002B2CF9AE}" pid="4" name="ICV">
    <vt:lpwstr>0FD29C63F70E43EBA8BB293469D7EC8D_12</vt:lpwstr>
  </property>
</Properties>
</file>